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3D05A8">
        <w:rPr>
          <w:rFonts w:ascii="Book Antiqua" w:hAnsi="Book Antiqua"/>
          <w:b/>
          <w:bCs/>
          <w:sz w:val="22"/>
          <w:szCs w:val="22"/>
        </w:rPr>
        <w:t>IRP.271.3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D05A8">
        <w:rPr>
          <w:rFonts w:ascii="Book Antiqua" w:hAnsi="Book Antiqua"/>
          <w:b/>
          <w:bCs/>
          <w:sz w:val="22"/>
          <w:szCs w:val="22"/>
        </w:rPr>
        <w:t>Mechaniczne zamiatanie ulic na terenie Miasta Świdwin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lastRenderedPageBreak/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3D05A8"/>
    <w:rsid w:val="006245E9"/>
    <w:rsid w:val="00655650"/>
    <w:rsid w:val="00E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cp:lastPrinted>2021-02-24T08:05:00Z</cp:lastPrinted>
  <dcterms:created xsi:type="dcterms:W3CDTF">2021-02-18T12:59:00Z</dcterms:created>
  <dcterms:modified xsi:type="dcterms:W3CDTF">2021-03-24T09:00:00Z</dcterms:modified>
</cp:coreProperties>
</file>