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263CB2">
        <w:rPr>
          <w:rFonts w:ascii="Book Antiqua" w:hAnsi="Book Antiqua"/>
          <w:b/>
          <w:bCs/>
          <w:sz w:val="22"/>
          <w:szCs w:val="22"/>
        </w:rPr>
        <w:t>IRP.271.5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E12C48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263CB2">
        <w:rPr>
          <w:rFonts w:ascii="Book Antiqua" w:hAnsi="Book Antiqua"/>
          <w:b/>
          <w:bCs/>
          <w:sz w:val="22"/>
          <w:szCs w:val="22"/>
        </w:rPr>
        <w:t>drogi gminnej nr 300029Z ul. Mickiewicza</w:t>
      </w:r>
      <w:bookmarkStart w:id="0" w:name="_GoBack"/>
      <w:bookmarkEnd w:id="0"/>
      <w:r w:rsidR="00E12C48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640B7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8</cp:revision>
  <dcterms:created xsi:type="dcterms:W3CDTF">2021-02-24T07:49:00Z</dcterms:created>
  <dcterms:modified xsi:type="dcterms:W3CDTF">2021-05-07T10:01:00Z</dcterms:modified>
</cp:coreProperties>
</file>