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882F6B" w:rsidP="005C7D36">
      <w:pPr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p w:rsidR="000C105C" w:rsidRPr="001C39CC" w:rsidRDefault="000B3FFF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Umowa nr IRP.272.__.2021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F02722">
        <w:rPr>
          <w:rFonts w:asciiTheme="minorHAnsi" w:eastAsia="MS Mincho" w:hAnsiTheme="minorHAnsi" w:cstheme="minorHAnsi"/>
          <w:color w:val="000000"/>
          <w:sz w:val="22"/>
          <w:szCs w:val="22"/>
        </w:rPr>
        <w:t>Przebudowa nawierzchni jezdni i chodników ulicy Jesiennej i część ulicy Letniej w Świdwinie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>podstawowym na usługę na podstawie art. 275 pkt 1 ustawy z dnia 11 września  2019 r. - Prawo zam</w:t>
      </w:r>
      <w:r w:rsidR="00CE7509">
        <w:rPr>
          <w:rFonts w:asciiTheme="minorHAnsi" w:hAnsiTheme="minorHAnsi" w:cstheme="minorHAnsi"/>
          <w:bCs/>
          <w:sz w:val="22"/>
          <w:szCs w:val="22"/>
        </w:rPr>
        <w:t>ówień publicznych (Dz. U. z 2021 r., poz. 1129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CE7509">
        <w:rPr>
          <w:rFonts w:asciiTheme="minorHAnsi" w:hAnsiTheme="minorHAnsi" w:cstheme="minorHAnsi"/>
          <w:sz w:val="22"/>
          <w:szCs w:val="22"/>
        </w:rPr>
        <w:t>cznych (Dz.U. z 2021r. poz. 1129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334FC0" w:rsidRPr="00334FC0" w:rsidRDefault="001C39CC" w:rsidP="00334FC0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 xml:space="preserve">z </w:t>
      </w:r>
      <w:r w:rsidR="00334FC0" w:rsidRPr="00334FC0">
        <w:rPr>
          <w:rStyle w:val="Domylnaczcionkaakapitu1"/>
          <w:rFonts w:ascii="Times New Roman" w:hAnsi="Times New Roman" w:cs="Times New Roman"/>
          <w:b/>
          <w:iCs/>
          <w:color w:val="000000"/>
          <w:sz w:val="22"/>
          <w:szCs w:val="22"/>
        </w:rPr>
        <w:t>„</w:t>
      </w:r>
      <w:r w:rsidR="00334FC0" w:rsidRPr="00334FC0">
        <w:rPr>
          <w:rFonts w:ascii="Times New Roman" w:hAnsi="Times New Roman" w:cs="Times New Roman"/>
          <w:b/>
          <w:color w:val="000000"/>
          <w:sz w:val="22"/>
          <w:szCs w:val="22"/>
        </w:rPr>
        <w:t>Przebudowa  drogi na działce  447/13 w Świdwinie</w:t>
      </w:r>
      <w:r w:rsidR="00334FC0" w:rsidRPr="00334FC0">
        <w:rPr>
          <w:rStyle w:val="Domylnaczcionkaakapitu1"/>
          <w:rFonts w:ascii="Times New Roman" w:hAnsi="Times New Roman" w:cs="Times New Roman"/>
          <w:b/>
          <w:iCs/>
          <w:color w:val="000000"/>
          <w:sz w:val="22"/>
          <w:szCs w:val="22"/>
        </w:rPr>
        <w:t>”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 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F02722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lastRenderedPageBreak/>
        <w:t xml:space="preserve">Termin zakończenia robót będących przedmiotem umowy ustala się do: </w:t>
      </w:r>
      <w:r w:rsidR="00334FC0">
        <w:rPr>
          <w:rFonts w:eastAsia="Calibri"/>
          <w:b/>
          <w:color w:val="000000"/>
          <w:lang w:eastAsia="en-US"/>
        </w:rPr>
        <w:t>2 miesiące</w:t>
      </w:r>
      <w:r w:rsidR="00F02722" w:rsidRPr="00F02722">
        <w:rPr>
          <w:rFonts w:eastAsia="Calibri"/>
          <w:b/>
          <w:color w:val="000000"/>
          <w:lang w:eastAsia="en-US"/>
        </w:rPr>
        <w:t xml:space="preserve"> od daty zawarcia umowy z Wykonawcą.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uporządkowanie terenu budowy po zakończeniu robót, zaplecza budowy, jak również terenów sąsiadujących zajętych lub użytkowanych przez Wykonawcę w tym dokonania na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lastRenderedPageBreak/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</w:t>
      </w:r>
      <w:r w:rsidRPr="004A4DB8">
        <w:rPr>
          <w:rFonts w:asciiTheme="minorHAnsi" w:hAnsiTheme="minorHAnsi" w:cstheme="minorHAnsi"/>
          <w:sz w:val="22"/>
          <w:szCs w:val="22"/>
        </w:rPr>
        <w:lastRenderedPageBreak/>
        <w:t xml:space="preserve">podwykonawca są zobowiązani dołączyć zgodę wykonawcy na zawarcie umowy o podwykonawstwo o treści zgodnej z projektem umowy.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lastRenderedPageBreak/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CE7509">
        <w:rPr>
          <w:rFonts w:asciiTheme="minorHAnsi" w:hAnsiTheme="minorHAnsi" w:cstheme="minorHAnsi"/>
          <w:sz w:val="22"/>
          <w:szCs w:val="22"/>
        </w:rPr>
        <w:t>nych ( Dz. U. z 2021r. poz. 1129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lastRenderedPageBreak/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C6" w:rsidRDefault="001C20C6" w:rsidP="00745CC7">
      <w:r>
        <w:separator/>
      </w:r>
    </w:p>
  </w:endnote>
  <w:endnote w:type="continuationSeparator" w:id="0">
    <w:p w:rsidR="001C20C6" w:rsidRDefault="001C20C6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6D3EB3">
      <w:rPr>
        <w:i/>
        <w:noProof/>
        <w:sz w:val="16"/>
        <w:szCs w:val="16"/>
      </w:rPr>
      <w:t>2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6D3EB3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C6" w:rsidRDefault="001C20C6" w:rsidP="00745CC7">
      <w:r>
        <w:separator/>
      </w:r>
    </w:p>
  </w:footnote>
  <w:footnote w:type="continuationSeparator" w:id="0">
    <w:p w:rsidR="001C20C6" w:rsidRDefault="001C20C6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6EC4"/>
    <w:rsid w:val="000A3882"/>
    <w:rsid w:val="000B3FFF"/>
    <w:rsid w:val="000C105C"/>
    <w:rsid w:val="000D33CA"/>
    <w:rsid w:val="000E3787"/>
    <w:rsid w:val="000E509B"/>
    <w:rsid w:val="000F1DC0"/>
    <w:rsid w:val="00153C9C"/>
    <w:rsid w:val="00155735"/>
    <w:rsid w:val="001C20C6"/>
    <w:rsid w:val="001C39CC"/>
    <w:rsid w:val="001C51F3"/>
    <w:rsid w:val="001D7F7D"/>
    <w:rsid w:val="001E38B9"/>
    <w:rsid w:val="00251D49"/>
    <w:rsid w:val="00256AED"/>
    <w:rsid w:val="00331422"/>
    <w:rsid w:val="00334FC0"/>
    <w:rsid w:val="00375906"/>
    <w:rsid w:val="00382AC6"/>
    <w:rsid w:val="003B6E1C"/>
    <w:rsid w:val="00425692"/>
    <w:rsid w:val="004305C0"/>
    <w:rsid w:val="004A442A"/>
    <w:rsid w:val="004A4DB8"/>
    <w:rsid w:val="004C7D70"/>
    <w:rsid w:val="0053240C"/>
    <w:rsid w:val="00556B61"/>
    <w:rsid w:val="00593B46"/>
    <w:rsid w:val="005C7D36"/>
    <w:rsid w:val="005E42E5"/>
    <w:rsid w:val="00605A7F"/>
    <w:rsid w:val="006B0AFF"/>
    <w:rsid w:val="006D3EB3"/>
    <w:rsid w:val="007335CF"/>
    <w:rsid w:val="00745CC7"/>
    <w:rsid w:val="00753259"/>
    <w:rsid w:val="007B5120"/>
    <w:rsid w:val="00825B10"/>
    <w:rsid w:val="00882F6B"/>
    <w:rsid w:val="00892724"/>
    <w:rsid w:val="008B7B81"/>
    <w:rsid w:val="008C26C8"/>
    <w:rsid w:val="008E19E1"/>
    <w:rsid w:val="008F77BA"/>
    <w:rsid w:val="009239D9"/>
    <w:rsid w:val="0094197F"/>
    <w:rsid w:val="009B4B1A"/>
    <w:rsid w:val="00A56219"/>
    <w:rsid w:val="00A66EA8"/>
    <w:rsid w:val="00A71430"/>
    <w:rsid w:val="00AE5DCF"/>
    <w:rsid w:val="00C45355"/>
    <w:rsid w:val="00CA035E"/>
    <w:rsid w:val="00CA72E7"/>
    <w:rsid w:val="00CE7509"/>
    <w:rsid w:val="00D8064C"/>
    <w:rsid w:val="00DC51DA"/>
    <w:rsid w:val="00DE4F57"/>
    <w:rsid w:val="00DF5F3D"/>
    <w:rsid w:val="00E0715B"/>
    <w:rsid w:val="00E11B72"/>
    <w:rsid w:val="00E43C1B"/>
    <w:rsid w:val="00E5212B"/>
    <w:rsid w:val="00EE3F52"/>
    <w:rsid w:val="00EE46BC"/>
    <w:rsid w:val="00F02722"/>
    <w:rsid w:val="00F17059"/>
    <w:rsid w:val="00F2797F"/>
    <w:rsid w:val="00F6532B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9</Pages>
  <Words>3234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36</cp:revision>
  <cp:lastPrinted>2021-08-12T10:05:00Z</cp:lastPrinted>
  <dcterms:created xsi:type="dcterms:W3CDTF">2021-03-11T08:58:00Z</dcterms:created>
  <dcterms:modified xsi:type="dcterms:W3CDTF">2021-08-12T10:05:00Z</dcterms:modified>
</cp:coreProperties>
</file>