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47927C9A" w:rsidR="001D05D4" w:rsidRPr="00EF143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F1434">
        <w:rPr>
          <w:rFonts w:ascii="Arial" w:hAnsi="Arial" w:cs="Arial"/>
          <w:b/>
          <w:sz w:val="20"/>
          <w:szCs w:val="20"/>
        </w:rPr>
        <w:t xml:space="preserve">na zadaniu pn. 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1A27AA">
        <w:rPr>
          <w:rFonts w:ascii="Arial" w:hAnsi="Arial" w:cs="Arial"/>
          <w:b/>
          <w:sz w:val="20"/>
          <w:szCs w:val="20"/>
          <w:shd w:val="clear" w:color="auto" w:fill="FFFFFF"/>
        </w:rPr>
        <w:t>Budowa drogi gminnej ul. Dobra Rycerskie</w:t>
      </w:r>
      <w:bookmarkStart w:id="0" w:name="_GoBack"/>
      <w:bookmarkEnd w:id="0"/>
      <w:r w:rsidR="001F53B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1F53B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1D05D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A27AA"/>
    <w:rsid w:val="001D05D4"/>
    <w:rsid w:val="001F53B1"/>
    <w:rsid w:val="003842E1"/>
    <w:rsid w:val="0078265A"/>
    <w:rsid w:val="00797184"/>
    <w:rsid w:val="007B5519"/>
    <w:rsid w:val="009525CC"/>
    <w:rsid w:val="009F2E12"/>
    <w:rsid w:val="009F745B"/>
    <w:rsid w:val="00AB454A"/>
    <w:rsid w:val="00AE61A2"/>
    <w:rsid w:val="00BC45FD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11</cp:revision>
  <dcterms:created xsi:type="dcterms:W3CDTF">2023-04-13T09:49:00Z</dcterms:created>
  <dcterms:modified xsi:type="dcterms:W3CDTF">2025-03-11T12:37:00Z</dcterms:modified>
</cp:coreProperties>
</file>